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B" w:rsidRPr="005D73B3" w:rsidRDefault="0018479F" w:rsidP="00BC061D">
      <w:pPr>
        <w:jc w:val="center"/>
        <w:rPr>
          <w:b/>
          <w:sz w:val="28"/>
        </w:rPr>
      </w:pPr>
      <w:r>
        <w:rPr>
          <w:b/>
          <w:sz w:val="28"/>
        </w:rPr>
        <w:t xml:space="preserve">MEASLES </w:t>
      </w:r>
      <w:r w:rsidR="006E4469">
        <w:rPr>
          <w:b/>
          <w:sz w:val="28"/>
        </w:rPr>
        <w:t>HEALTH ALERT</w:t>
      </w:r>
      <w:r w:rsidR="009102D2">
        <w:rPr>
          <w:b/>
          <w:sz w:val="28"/>
        </w:rPr>
        <w:t>/ADVISORY</w:t>
      </w:r>
    </w:p>
    <w:p w:rsidR="008C11BB" w:rsidRPr="006C7DA7" w:rsidRDefault="008C11BB" w:rsidP="00BC061D">
      <w:r w:rsidRPr="006C7DA7">
        <w:t>Date</w:t>
      </w:r>
    </w:p>
    <w:p w:rsidR="005D73B3" w:rsidRPr="006C7DA7" w:rsidRDefault="008C11BB" w:rsidP="00BC061D">
      <w:r w:rsidRPr="006C7DA7">
        <w:t>Dear Colleague:</w:t>
      </w:r>
    </w:p>
    <w:p w:rsidR="00545E5D" w:rsidRPr="006C7DA7" w:rsidRDefault="00545E5D" w:rsidP="00BC061D">
      <w:pPr>
        <w:rPr>
          <w:u w:val="single"/>
        </w:rPr>
      </w:pPr>
      <w:r w:rsidRPr="006C7DA7">
        <w:rPr>
          <w:b/>
          <w:u w:val="single"/>
        </w:rPr>
        <w:t>Details of situation:</w:t>
      </w:r>
      <w:r w:rsidR="006B5943" w:rsidRPr="006C7DA7">
        <w:t xml:space="preserve">  [insert info]</w:t>
      </w:r>
    </w:p>
    <w:p w:rsidR="00AB4F90" w:rsidRDefault="00AB4F90" w:rsidP="00BC061D">
      <w:pPr>
        <w:autoSpaceDE w:val="0"/>
        <w:autoSpaceDN w:val="0"/>
        <w:adjustRightInd w:val="0"/>
        <w:rPr>
          <w:rFonts w:cstheme="minorHAnsi"/>
        </w:rPr>
      </w:pPr>
      <w:r>
        <w:rPr>
          <w:b/>
          <w:u w:val="single"/>
        </w:rPr>
        <w:t>Clinical info</w:t>
      </w:r>
      <w:r w:rsidR="00BC061D">
        <w:rPr>
          <w:b/>
          <w:u w:val="single"/>
        </w:rPr>
        <w:t>rmation</w:t>
      </w:r>
      <w:r>
        <w:rPr>
          <w:b/>
          <w:u w:val="single"/>
        </w:rPr>
        <w:t>:</w:t>
      </w:r>
      <w:r w:rsidRPr="00B670F3">
        <w:rPr>
          <w:rFonts w:ascii="Times New Roman" w:eastAsia="Times New Roman" w:hAnsi="Times New Roman" w:cs="Times New Roman"/>
          <w:color w:val="000000"/>
          <w:sz w:val="24"/>
          <w:szCs w:val="24"/>
        </w:rPr>
        <w:t xml:space="preserve"> </w:t>
      </w:r>
      <w:r w:rsidRPr="0029638E">
        <w:rPr>
          <w:rFonts w:cstheme="minorHAnsi"/>
        </w:rPr>
        <w:t>Measles (</w:t>
      </w:r>
      <w:proofErr w:type="spellStart"/>
      <w:r w:rsidRPr="0029638E">
        <w:rPr>
          <w:rFonts w:cstheme="minorHAnsi"/>
        </w:rPr>
        <w:t>rubeola</w:t>
      </w:r>
      <w:proofErr w:type="spellEnd"/>
      <w:r w:rsidRPr="0029638E">
        <w:rPr>
          <w:rFonts w:cstheme="minorHAnsi"/>
        </w:rPr>
        <w:t xml:space="preserve">) is a highly contagious febrile rash illness caused by a </w:t>
      </w:r>
      <w:proofErr w:type="spellStart"/>
      <w:r w:rsidRPr="0029638E">
        <w:rPr>
          <w:rFonts w:cstheme="minorHAnsi"/>
        </w:rPr>
        <w:t>paramyxovirus</w:t>
      </w:r>
      <w:proofErr w:type="spellEnd"/>
      <w:r w:rsidRPr="0029638E">
        <w:rPr>
          <w:rFonts w:cstheme="minorHAnsi"/>
        </w:rPr>
        <w:t xml:space="preserve"> transmitted via the respiratory route.  The incubation period averages 10-12 days</w:t>
      </w:r>
      <w:r>
        <w:rPr>
          <w:rFonts w:cstheme="minorHAnsi"/>
        </w:rPr>
        <w:t xml:space="preserve"> from exposure to </w:t>
      </w:r>
      <w:proofErr w:type="spellStart"/>
      <w:r>
        <w:rPr>
          <w:rFonts w:cstheme="minorHAnsi"/>
        </w:rPr>
        <w:t>prodrome</w:t>
      </w:r>
      <w:proofErr w:type="spellEnd"/>
      <w:r w:rsidRPr="0029638E">
        <w:rPr>
          <w:rFonts w:cstheme="minorHAnsi"/>
        </w:rPr>
        <w:t xml:space="preserve"> and 14 days from exposure to rash onset (range 7 -18 days).  The </w:t>
      </w:r>
      <w:proofErr w:type="spellStart"/>
      <w:r w:rsidRPr="0029638E">
        <w:rPr>
          <w:rFonts w:cstheme="minorHAnsi"/>
        </w:rPr>
        <w:t>prodrome</w:t>
      </w:r>
      <w:proofErr w:type="spellEnd"/>
      <w:r w:rsidRPr="0029638E">
        <w:rPr>
          <w:rFonts w:cstheme="minorHAnsi"/>
        </w:rPr>
        <w:t xml:space="preserve"> generally lasts 2-4 days and is characterized by fever, increasing in stepwise fashion and often peaking at 103°-105°F.  </w:t>
      </w:r>
    </w:p>
    <w:p w:rsidR="00AB4F90" w:rsidRDefault="00AB4F90" w:rsidP="00BC061D">
      <w:pPr>
        <w:autoSpaceDE w:val="0"/>
        <w:autoSpaceDN w:val="0"/>
        <w:adjustRightInd w:val="0"/>
        <w:rPr>
          <w:rFonts w:cstheme="minorHAnsi"/>
        </w:rPr>
      </w:pPr>
      <w:r w:rsidRPr="0029638E">
        <w:rPr>
          <w:rFonts w:cstheme="minorHAnsi"/>
        </w:rPr>
        <w:t xml:space="preserve">Fever is followed by the onset of cough, coryza, and/or conjunctivitis.  </w:t>
      </w:r>
      <w:proofErr w:type="spellStart"/>
      <w:r w:rsidRPr="0029638E">
        <w:rPr>
          <w:rFonts w:cstheme="minorHAnsi"/>
        </w:rPr>
        <w:t>Koplik</w:t>
      </w:r>
      <w:proofErr w:type="spellEnd"/>
      <w:r w:rsidRPr="0029638E">
        <w:rPr>
          <w:rFonts w:cstheme="minorHAnsi"/>
        </w:rPr>
        <w:t xml:space="preserve"> spots</w:t>
      </w:r>
      <w:r>
        <w:rPr>
          <w:rFonts w:cstheme="minorHAnsi"/>
        </w:rPr>
        <w:t>,</w:t>
      </w:r>
      <w:r w:rsidRPr="0029638E">
        <w:rPr>
          <w:rFonts w:cstheme="minorHAnsi"/>
        </w:rPr>
        <w:t xml:space="preserve"> </w:t>
      </w:r>
      <w:r>
        <w:rPr>
          <w:rFonts w:cstheme="minorHAnsi"/>
        </w:rPr>
        <w:t>while not always present,</w:t>
      </w:r>
      <w:r w:rsidRPr="0029638E">
        <w:rPr>
          <w:rFonts w:cstheme="minorHAnsi"/>
        </w:rPr>
        <w:t xml:space="preserve"> are considered to be pathognomonic for measles and appear as punctate blue-white spots on the bright red background of the buccal mucosa, occurring 1-2 days before rash to 1-2 days afterwards.  The measles rash is a maculopapular eruption that begins at the hairline and gradually proceeds to face and upper neck and from there downward and outward.  The maculopapular lesions are generally discrete but may become confluent.  Other symptoms of measles include anorexia, diarrhea (especially in infants), and generalized lymphadenopathy.  Complications can include otitis media, pneumonia, encephalitis, seizures and death.</w:t>
      </w:r>
    </w:p>
    <w:p w:rsidR="00AB4F90" w:rsidRPr="00B670F3" w:rsidRDefault="00AB4F90" w:rsidP="00BC061D">
      <w:pPr>
        <w:autoSpaceDE w:val="0"/>
        <w:autoSpaceDN w:val="0"/>
        <w:adjustRightInd w:val="0"/>
        <w:rPr>
          <w:rFonts w:ascii="Times New Roman" w:eastAsia="Times New Roman" w:hAnsi="Times New Roman" w:cs="Times New Roman"/>
          <w:color w:val="000000"/>
          <w:sz w:val="24"/>
          <w:szCs w:val="24"/>
        </w:rPr>
      </w:pPr>
      <w:r>
        <w:rPr>
          <w:rFonts w:cstheme="minorHAnsi"/>
        </w:rPr>
        <w:t xml:space="preserve">While it is rare that vaccinated individuals develop measles, it can happen. Vaccinated individuals may have an atypical clinical presentation—typically shorter rash duration or atypical rash presentation, and possible lack of fever, cough, coryza or conjunctivitis. </w:t>
      </w:r>
    </w:p>
    <w:p w:rsidR="00BC061D" w:rsidRPr="006C7DA7" w:rsidRDefault="00BC061D" w:rsidP="00BC061D">
      <w:pPr>
        <w:spacing w:after="0"/>
        <w:rPr>
          <w:iCs/>
          <w:lang w:val="en"/>
        </w:rPr>
      </w:pPr>
      <w:r w:rsidRPr="00431BF7">
        <w:rPr>
          <w:b/>
          <w:u w:val="single"/>
        </w:rPr>
        <w:t>Disease Reporting Requirements/Statute:</w:t>
      </w:r>
      <w:r w:rsidRPr="006C7DA7">
        <w:t xml:space="preserve"> </w:t>
      </w:r>
      <w:r w:rsidRPr="006C7DA7">
        <w:rPr>
          <w:iCs/>
          <w:lang w:val="en"/>
        </w:rPr>
        <w:t>Several Texas laws (</w:t>
      </w:r>
      <w:hyperlink r:id="rId6" w:history="1">
        <w:r w:rsidRPr="006C7DA7">
          <w:rPr>
            <w:rStyle w:val="Hyperlink"/>
            <w:iCs/>
            <w:lang w:val="en"/>
          </w:rPr>
          <w:t>Health &amp; Safety Code, Chapters 81, 84, and 87</w:t>
        </w:r>
      </w:hyperlink>
      <w:r w:rsidRPr="006C7DA7">
        <w:rPr>
          <w:iCs/>
          <w:lang w:val="en"/>
        </w:rPr>
        <w:t xml:space="preserve">) require specific information regarding notifiable conditions be provided to </w:t>
      </w:r>
      <w:r>
        <w:rPr>
          <w:iCs/>
          <w:lang w:val="en"/>
        </w:rPr>
        <w:t>the health department</w:t>
      </w:r>
      <w:r w:rsidRPr="006C7DA7">
        <w:rPr>
          <w:iCs/>
          <w:lang w:val="en"/>
        </w:rPr>
        <w:t xml:space="preserve">. Health care providers, hospitals, laboratories, schools, childcare facilities and others are required to report patients who are suspected of having </w:t>
      </w:r>
      <w:r>
        <w:rPr>
          <w:iCs/>
          <w:lang w:val="en"/>
        </w:rPr>
        <w:t>measles</w:t>
      </w:r>
      <w:r w:rsidRPr="006C7DA7">
        <w:rPr>
          <w:iCs/>
          <w:lang w:val="en"/>
        </w:rPr>
        <w:t xml:space="preserve"> (</w:t>
      </w:r>
      <w:hyperlink r:id="rId7" w:tooltip="Chapter 97, Communicable Diseases" w:history="1">
        <w:r w:rsidRPr="006C7DA7">
          <w:rPr>
            <w:rStyle w:val="Hyperlink"/>
            <w:iCs/>
            <w:lang w:val="en"/>
          </w:rPr>
          <w:t xml:space="preserve">Chapter 97, Title 25, Texas Administrative </w:t>
        </w:r>
        <w:proofErr w:type="gramStart"/>
        <w:r w:rsidRPr="006C7DA7">
          <w:rPr>
            <w:rStyle w:val="Hyperlink"/>
            <w:iCs/>
            <w:lang w:val="en"/>
          </w:rPr>
          <w:t xml:space="preserve">Code </w:t>
        </w:r>
        <w:proofErr w:type="gramEnd"/>
      </w:hyperlink>
      <w:r w:rsidRPr="006C7DA7">
        <w:rPr>
          <w:iCs/>
          <w:lang w:val="en"/>
        </w:rPr>
        <w:t xml:space="preserve">).  </w:t>
      </w:r>
    </w:p>
    <w:p w:rsidR="00BC061D" w:rsidRDefault="00BC061D" w:rsidP="00BC061D">
      <w:pPr>
        <w:spacing w:after="0"/>
        <w:jc w:val="center"/>
        <w:rPr>
          <w:b/>
        </w:rPr>
      </w:pPr>
      <w:r w:rsidRPr="006C7DA7">
        <w:rPr>
          <w:lang w:val="en"/>
        </w:rPr>
        <w:br/>
      </w:r>
      <w:r w:rsidRPr="00431BF7">
        <w:rPr>
          <w:b/>
        </w:rPr>
        <w:t xml:space="preserve">In Texas, </w:t>
      </w:r>
      <w:r w:rsidRPr="00866954">
        <w:rPr>
          <w:b/>
          <w:i/>
        </w:rPr>
        <w:t>suspicion</w:t>
      </w:r>
      <w:r>
        <w:rPr>
          <w:b/>
        </w:rPr>
        <w:t xml:space="preserve"> of measles</w:t>
      </w:r>
      <w:r w:rsidRPr="00431BF7">
        <w:rPr>
          <w:b/>
        </w:rPr>
        <w:t xml:space="preserve"> is required to be reported </w:t>
      </w:r>
      <w:r w:rsidRPr="0029638E">
        <w:rPr>
          <w:b/>
          <w:i/>
        </w:rPr>
        <w:t>immediately</w:t>
      </w:r>
      <w:r w:rsidRPr="00431BF7">
        <w:rPr>
          <w:b/>
        </w:rPr>
        <w:t>.</w:t>
      </w:r>
      <w:r>
        <w:rPr>
          <w:b/>
        </w:rPr>
        <w:t xml:space="preserve"> </w:t>
      </w:r>
    </w:p>
    <w:p w:rsidR="00BC061D" w:rsidRDefault="00BC061D" w:rsidP="00BC061D">
      <w:pPr>
        <w:spacing w:after="0"/>
        <w:jc w:val="center"/>
        <w:rPr>
          <w:b/>
        </w:rPr>
      </w:pPr>
      <w:r>
        <w:rPr>
          <w:b/>
        </w:rPr>
        <w:t>Do not wait for laboratory confir</w:t>
      </w:r>
      <w:r w:rsidR="000D4E8A">
        <w:rPr>
          <w:b/>
        </w:rPr>
        <w:t>mation to report measles</w:t>
      </w:r>
      <w:r>
        <w:rPr>
          <w:b/>
        </w:rPr>
        <w:t>.</w:t>
      </w:r>
    </w:p>
    <w:p w:rsidR="00BC061D" w:rsidRDefault="00BC061D" w:rsidP="00BC061D">
      <w:pPr>
        <w:spacing w:after="0"/>
        <w:jc w:val="center"/>
        <w:rPr>
          <w:b/>
          <w:iCs/>
          <w:lang w:val="en"/>
        </w:rPr>
      </w:pPr>
      <w:r>
        <w:rPr>
          <w:b/>
          <w:iCs/>
          <w:lang w:val="en"/>
        </w:rPr>
        <w:t xml:space="preserve">Measles </w:t>
      </w:r>
      <w:r w:rsidRPr="006C7DA7">
        <w:rPr>
          <w:b/>
          <w:iCs/>
          <w:lang w:val="en"/>
        </w:rPr>
        <w:t xml:space="preserve">reports should be made to </w:t>
      </w:r>
      <w:r>
        <w:rPr>
          <w:b/>
          <w:iCs/>
          <w:lang w:val="en"/>
        </w:rPr>
        <w:t>the local health department or 800-705-8868.</w:t>
      </w:r>
    </w:p>
    <w:p w:rsidR="00BC061D" w:rsidRPr="00431BF7" w:rsidRDefault="00BC061D" w:rsidP="00BC061D">
      <w:pPr>
        <w:spacing w:after="0"/>
        <w:jc w:val="center"/>
        <w:rPr>
          <w:b/>
          <w:iCs/>
          <w:lang w:val="en"/>
        </w:rPr>
      </w:pPr>
    </w:p>
    <w:p w:rsidR="00AB4F90" w:rsidRDefault="00AB4F90" w:rsidP="00BC061D">
      <w:pPr>
        <w:spacing w:after="0"/>
        <w:rPr>
          <w:rFonts w:cstheme="minorHAnsi"/>
        </w:rPr>
      </w:pPr>
      <w:r w:rsidRPr="00E2399D">
        <w:rPr>
          <w:b/>
          <w:u w:val="single"/>
          <w:lang w:val="en"/>
        </w:rPr>
        <w:t>Infection Control:</w:t>
      </w:r>
      <w:r>
        <w:rPr>
          <w:lang w:val="en"/>
        </w:rPr>
        <w:t xml:space="preserve"> Patients are contagious from 4 days before onset of rash to 4 days after appearance of rash (day of rash onset is day 0).</w:t>
      </w:r>
      <w:r w:rsidRPr="006C7DA7">
        <w:rPr>
          <w:lang w:val="en"/>
        </w:rPr>
        <w:t xml:space="preserve">  </w:t>
      </w:r>
      <w:r>
        <w:rPr>
          <w:rFonts w:cstheme="minorHAnsi"/>
        </w:rPr>
        <w:t xml:space="preserve">If a patient presents with these symptoms, isolate the patient with </w:t>
      </w:r>
      <w:r w:rsidRPr="009102D2">
        <w:rPr>
          <w:rFonts w:cstheme="minorHAnsi"/>
          <w:bCs/>
        </w:rPr>
        <w:t>airborne isolation precautions</w:t>
      </w:r>
      <w:r w:rsidRPr="009102D2">
        <w:rPr>
          <w:rFonts w:cstheme="minorHAnsi"/>
        </w:rPr>
        <w:t>, if</w:t>
      </w:r>
      <w:r>
        <w:rPr>
          <w:rFonts w:cstheme="minorHAnsi"/>
        </w:rPr>
        <w:t xml:space="preserve"> possible. </w:t>
      </w:r>
    </w:p>
    <w:p w:rsidR="00AB4F90" w:rsidRDefault="00AB4F90" w:rsidP="00BC061D">
      <w:pPr>
        <w:spacing w:after="0"/>
        <w:rPr>
          <w:rFonts w:cstheme="minorHAnsi"/>
        </w:rPr>
      </w:pPr>
    </w:p>
    <w:p w:rsidR="000D4E8A" w:rsidRDefault="00AB4F90" w:rsidP="00BC061D">
      <w:pPr>
        <w:autoSpaceDE w:val="0"/>
        <w:autoSpaceDN w:val="0"/>
        <w:adjustRightInd w:val="0"/>
        <w:spacing w:after="0"/>
        <w:rPr>
          <w:rFonts w:eastAsia="Times New Roman"/>
        </w:rPr>
      </w:pPr>
      <w:r w:rsidRPr="0029638E">
        <w:rPr>
          <w:rFonts w:cstheme="minorHAnsi"/>
        </w:rPr>
        <w:t>All healthcare facilities should ensure that they have updated documentation of</w:t>
      </w:r>
      <w:r>
        <w:rPr>
          <w:rFonts w:cstheme="minorHAnsi"/>
        </w:rPr>
        <w:t xml:space="preserve"> measles</w:t>
      </w:r>
      <w:r w:rsidRPr="0029638E">
        <w:rPr>
          <w:rFonts w:cstheme="minorHAnsi"/>
        </w:rPr>
        <w:t xml:space="preserve"> immunity status for all staff</w:t>
      </w:r>
      <w:r>
        <w:rPr>
          <w:rFonts w:cstheme="minorHAnsi"/>
        </w:rPr>
        <w:t>—not just healthcare providers</w:t>
      </w:r>
      <w:r w:rsidRPr="0029638E">
        <w:rPr>
          <w:rFonts w:cstheme="minorHAnsi"/>
        </w:rPr>
        <w:t>. Documentation of immunity includes written record of receipt of two MMRs,</w:t>
      </w:r>
      <w:r>
        <w:rPr>
          <w:rFonts w:cstheme="minorHAnsi"/>
        </w:rPr>
        <w:t xml:space="preserve"> positive serological titers, or birth prior to 1957 (although healthcare </w:t>
      </w:r>
      <w:r w:rsidR="000D4E8A">
        <w:rPr>
          <w:rFonts w:cstheme="minorHAnsi"/>
        </w:rPr>
        <w:t>facilities should consider vaccin</w:t>
      </w:r>
      <w:r w:rsidR="009E0C6C">
        <w:rPr>
          <w:rFonts w:cstheme="minorHAnsi"/>
        </w:rPr>
        <w:t>ating</w:t>
      </w:r>
      <w:r w:rsidR="000D4E8A">
        <w:rPr>
          <w:rFonts w:cstheme="minorHAnsi"/>
        </w:rPr>
        <w:t xml:space="preserve"> unvaccinated personnel born before 1957 who do not have laboratory evidence of measles immunity</w:t>
      </w:r>
      <w:r>
        <w:rPr>
          <w:rFonts w:cstheme="minorHAnsi"/>
        </w:rPr>
        <w:t xml:space="preserve">). During an outbreak of measles, </w:t>
      </w:r>
      <w:r w:rsidR="000D4E8A">
        <w:rPr>
          <w:rFonts w:cstheme="minorHAnsi"/>
        </w:rPr>
        <w:t xml:space="preserve">unvaccinated </w:t>
      </w:r>
      <w:r>
        <w:rPr>
          <w:rFonts w:cstheme="minorHAnsi"/>
        </w:rPr>
        <w:t xml:space="preserve">healthcare workers regardless of birth year </w:t>
      </w:r>
      <w:r w:rsidR="000D4E8A">
        <w:rPr>
          <w:rFonts w:cstheme="minorHAnsi"/>
        </w:rPr>
        <w:t xml:space="preserve">who lack </w:t>
      </w:r>
      <w:r>
        <w:rPr>
          <w:rFonts w:cstheme="minorHAnsi"/>
        </w:rPr>
        <w:lastRenderedPageBreak/>
        <w:t>laboratory evidence of immunity</w:t>
      </w:r>
      <w:r w:rsidR="0064765A">
        <w:rPr>
          <w:rFonts w:cstheme="minorHAnsi"/>
        </w:rPr>
        <w:t xml:space="preserve"> should receive 2 doses of MMR vaccine</w:t>
      </w:r>
      <w:bookmarkStart w:id="0" w:name="_GoBack"/>
      <w:bookmarkEnd w:id="0"/>
      <w:r>
        <w:rPr>
          <w:rFonts w:cstheme="minorHAnsi"/>
        </w:rPr>
        <w:t>.</w:t>
      </w:r>
      <w:r w:rsidR="000D4E8A">
        <w:rPr>
          <w:rFonts w:cstheme="minorHAnsi"/>
        </w:rPr>
        <w:t xml:space="preserve"> </w:t>
      </w:r>
      <w:r w:rsidR="000D4E8A">
        <w:rPr>
          <w:rFonts w:eastAsia="Times New Roman"/>
        </w:rPr>
        <w:t>Exclude healthcare personnel without evidence of immunity from duty from day 5-21 after last exposure, regardless of post-exposure prophylaxis. </w:t>
      </w:r>
    </w:p>
    <w:p w:rsidR="00AB4F90" w:rsidRDefault="000D4E8A" w:rsidP="000D4E8A">
      <w:pPr>
        <w:spacing w:before="100" w:beforeAutospacing="1" w:after="100" w:afterAutospacing="1"/>
        <w:rPr>
          <w:b/>
          <w:u w:val="single"/>
        </w:rPr>
      </w:pPr>
      <w:r w:rsidRPr="00431BF7">
        <w:rPr>
          <w:rFonts w:eastAsia="Times New Roman" w:cs="Times New Roman"/>
          <w:lang w:val="en"/>
        </w:rPr>
        <w:t xml:space="preserve">People suspected of having </w:t>
      </w:r>
      <w:r>
        <w:rPr>
          <w:rFonts w:eastAsia="Times New Roman" w:cs="Times New Roman"/>
          <w:lang w:val="en"/>
        </w:rPr>
        <w:t>measles</w:t>
      </w:r>
      <w:r w:rsidRPr="00431BF7">
        <w:rPr>
          <w:rFonts w:eastAsia="Times New Roman" w:cs="Times New Roman"/>
          <w:lang w:val="en"/>
        </w:rPr>
        <w:t xml:space="preserve"> should be told to stay home from work, school, daycare, and any public outings (e.g</w:t>
      </w:r>
      <w:r>
        <w:rPr>
          <w:rFonts w:eastAsia="Times New Roman" w:cs="Times New Roman"/>
          <w:lang w:val="en"/>
        </w:rPr>
        <w:t>.</w:t>
      </w:r>
      <w:r w:rsidR="0064765A">
        <w:rPr>
          <w:rFonts w:eastAsia="Times New Roman" w:cs="Times New Roman"/>
          <w:lang w:val="en"/>
        </w:rPr>
        <w:t>,</w:t>
      </w:r>
      <w:r w:rsidRPr="00431BF7">
        <w:rPr>
          <w:rFonts w:eastAsia="Times New Roman" w:cs="Times New Roman"/>
          <w:lang w:val="en"/>
        </w:rPr>
        <w:t xml:space="preserve"> church, grocery store) until </w:t>
      </w:r>
      <w:r>
        <w:rPr>
          <w:rFonts w:eastAsia="Times New Roman" w:cs="Times New Roman"/>
          <w:lang w:val="en"/>
        </w:rPr>
        <w:t>four days after rash onset have passed.</w:t>
      </w:r>
      <w:r w:rsidRPr="00431BF7">
        <w:rPr>
          <w:rFonts w:eastAsia="Times New Roman" w:cs="Times New Roman"/>
          <w:lang w:val="en"/>
        </w:rPr>
        <w:t xml:space="preserve"> </w:t>
      </w:r>
      <w:r>
        <w:rPr>
          <w:rFonts w:eastAsia="Times New Roman" w:cs="Times New Roman"/>
          <w:lang w:val="en"/>
        </w:rPr>
        <w:t>People that have been exposed to measles and are not immune and did not receive PEP should be advised to stay home from day 5-21 after exposure.</w:t>
      </w:r>
    </w:p>
    <w:p w:rsidR="00AB4F90" w:rsidRPr="006C7DA7" w:rsidRDefault="00AB4F90" w:rsidP="00BC061D">
      <w:pPr>
        <w:spacing w:after="0"/>
      </w:pPr>
      <w:r w:rsidRPr="006C7DA7">
        <w:rPr>
          <w:b/>
          <w:u w:val="single"/>
        </w:rPr>
        <w:t>Lab Confirmation Tests:</w:t>
      </w:r>
      <w:r w:rsidRPr="006C7DA7">
        <w:t xml:space="preserve"> </w:t>
      </w:r>
    </w:p>
    <w:p w:rsidR="00AB4F90" w:rsidRDefault="00AB4F90" w:rsidP="00BC061D">
      <w:pPr>
        <w:numPr>
          <w:ilvl w:val="0"/>
          <w:numId w:val="12"/>
        </w:numPr>
        <w:spacing w:after="0"/>
      </w:pPr>
      <w:r w:rsidRPr="0029638E">
        <w:t xml:space="preserve">Testing for measles should be done in patients meeting clinical case definition: (1) a generalized rash lasting &gt;3 days, and (2) fever &gt;101F (38.3C), and (3) cough, coryza or conjunctivitis. </w:t>
      </w:r>
    </w:p>
    <w:p w:rsidR="00AB4F90" w:rsidRDefault="00AB4F90" w:rsidP="00BC061D">
      <w:pPr>
        <w:numPr>
          <w:ilvl w:val="0"/>
          <w:numId w:val="12"/>
        </w:numPr>
        <w:spacing w:after="0"/>
      </w:pPr>
      <w:r w:rsidRPr="00BF3B19">
        <w:t xml:space="preserve">A blood specimen for serology and throat swab for viral culture </w:t>
      </w:r>
      <w:r>
        <w:t xml:space="preserve">or PCR </w:t>
      </w:r>
      <w:r w:rsidRPr="00BF3B19">
        <w:t xml:space="preserve">should be collected at </w:t>
      </w:r>
      <w:r w:rsidRPr="000D4E8A">
        <w:t xml:space="preserve">the </w:t>
      </w:r>
      <w:r w:rsidRPr="000D4E8A">
        <w:rPr>
          <w:bCs/>
        </w:rPr>
        <w:t>first contact</w:t>
      </w:r>
      <w:r w:rsidRPr="000D4E8A">
        <w:t xml:space="preserve"> with</w:t>
      </w:r>
      <w:r w:rsidRPr="00BF3B19">
        <w:t xml:space="preserve"> a suspected measles case.</w:t>
      </w:r>
      <w:r>
        <w:t xml:space="preserve"> Currently PCR is only available through public health laboratories. Work with the local health department to coordinate PCR testing. </w:t>
      </w:r>
    </w:p>
    <w:p w:rsidR="00AB4F90" w:rsidRDefault="00AB4F90" w:rsidP="00BC061D">
      <w:pPr>
        <w:numPr>
          <w:ilvl w:val="0"/>
          <w:numId w:val="12"/>
        </w:numPr>
        <w:spacing w:after="0"/>
      </w:pPr>
      <w:r>
        <w:t xml:space="preserve">Testing should also be considered in persons who have been exposed or travelled to an area where measles is endemic and who have a rash-fever illness. </w:t>
      </w:r>
    </w:p>
    <w:p w:rsidR="00AB4F90" w:rsidRDefault="00AB4F90" w:rsidP="00BC061D">
      <w:pPr>
        <w:spacing w:after="0"/>
        <w:rPr>
          <w:b/>
          <w:u w:val="single"/>
          <w:lang w:val="en"/>
        </w:rPr>
      </w:pPr>
    </w:p>
    <w:p w:rsidR="00AB4F90" w:rsidRDefault="00AB4F90" w:rsidP="00BC061D">
      <w:pPr>
        <w:spacing w:after="0"/>
        <w:rPr>
          <w:lang w:val="en"/>
        </w:rPr>
      </w:pPr>
      <w:r w:rsidRPr="006C7DA7">
        <w:rPr>
          <w:b/>
          <w:u w:val="single"/>
          <w:lang w:val="en"/>
        </w:rPr>
        <w:t xml:space="preserve">Postexposure </w:t>
      </w:r>
      <w:proofErr w:type="gramStart"/>
      <w:r w:rsidRPr="006C7DA7">
        <w:rPr>
          <w:b/>
          <w:u w:val="single"/>
          <w:lang w:val="en"/>
        </w:rPr>
        <w:t xml:space="preserve">Prophylaxis </w:t>
      </w:r>
      <w:r>
        <w:rPr>
          <w:b/>
          <w:u w:val="single"/>
          <w:lang w:val="en"/>
        </w:rPr>
        <w:t xml:space="preserve"> (</w:t>
      </w:r>
      <w:proofErr w:type="gramEnd"/>
      <w:r>
        <w:rPr>
          <w:b/>
          <w:u w:val="single"/>
          <w:lang w:val="en"/>
        </w:rPr>
        <w:t xml:space="preserve">PEP) </w:t>
      </w:r>
      <w:r w:rsidRPr="006C7DA7">
        <w:rPr>
          <w:b/>
          <w:u w:val="single"/>
          <w:lang w:val="en"/>
        </w:rPr>
        <w:t>Recommendations</w:t>
      </w:r>
      <w:r w:rsidRPr="006C7DA7">
        <w:rPr>
          <w:b/>
          <w:lang w:val="en"/>
        </w:rPr>
        <w:t>:</w:t>
      </w:r>
      <w:r w:rsidRPr="006C7DA7">
        <w:rPr>
          <w:lang w:val="en"/>
        </w:rPr>
        <w:t xml:space="preserve"> </w:t>
      </w:r>
    </w:p>
    <w:p w:rsidR="00AB4F90" w:rsidRPr="00B670F3" w:rsidRDefault="00AB4F90" w:rsidP="00BC061D">
      <w:pPr>
        <w:spacing w:after="0"/>
      </w:pPr>
      <w:r w:rsidRPr="00B670F3">
        <w:rPr>
          <w:b/>
          <w:i/>
        </w:rPr>
        <w:t>MMR vaccine</w:t>
      </w:r>
      <w:r w:rsidRPr="00B670F3">
        <w:t xml:space="preserve"> is recommended for the following potentially exposed groups:</w:t>
      </w:r>
    </w:p>
    <w:p w:rsidR="00AB4F90" w:rsidRPr="00B670F3" w:rsidRDefault="00AB4F90" w:rsidP="00BC061D">
      <w:pPr>
        <w:numPr>
          <w:ilvl w:val="0"/>
          <w:numId w:val="13"/>
        </w:numPr>
        <w:spacing w:after="0"/>
      </w:pPr>
      <w:r w:rsidRPr="00B670F3">
        <w:t>Exposed persons (6 months and older</w:t>
      </w:r>
      <w:r w:rsidR="000D4E8A">
        <w:t xml:space="preserve"> and not otherwise contraindicated</w:t>
      </w:r>
      <w:r w:rsidRPr="00B670F3">
        <w:t>) without evidence of immunity to measles –</w:t>
      </w:r>
      <w:r w:rsidRPr="00E21847">
        <w:rPr>
          <w:b/>
        </w:rPr>
        <w:t xml:space="preserve">administer MMR within 3 days of exposure. </w:t>
      </w:r>
      <w:r>
        <w:t>If a child &lt;12 months old is vaccinated for a potential exposure, he</w:t>
      </w:r>
      <w:r w:rsidRPr="00B670F3">
        <w:t xml:space="preserve"> should be revaccinated with 2 additional doses of MMR </w:t>
      </w:r>
      <w:r>
        <w:t>according to schedule.</w:t>
      </w:r>
    </w:p>
    <w:p w:rsidR="00AB4F90" w:rsidRDefault="00AB4F90" w:rsidP="00BC061D">
      <w:pPr>
        <w:spacing w:after="0"/>
        <w:rPr>
          <w:lang w:val="en"/>
        </w:rPr>
      </w:pPr>
    </w:p>
    <w:p w:rsidR="00AB4F90" w:rsidRPr="0029638E" w:rsidRDefault="00AB4F90" w:rsidP="00BC061D">
      <w:pPr>
        <w:spacing w:after="0"/>
        <w:rPr>
          <w:b/>
          <w:i/>
          <w:lang w:val="en"/>
        </w:rPr>
      </w:pPr>
      <w:r w:rsidRPr="0029638E">
        <w:rPr>
          <w:b/>
          <w:i/>
          <w:lang w:val="en"/>
        </w:rPr>
        <w:t>Immun</w:t>
      </w:r>
      <w:r>
        <w:rPr>
          <w:b/>
          <w:i/>
          <w:lang w:val="en"/>
        </w:rPr>
        <w:t>e g</w:t>
      </w:r>
      <w:r w:rsidRPr="0029638E">
        <w:rPr>
          <w:b/>
          <w:i/>
          <w:lang w:val="en"/>
        </w:rPr>
        <w:t>lobulin</w:t>
      </w:r>
    </w:p>
    <w:p w:rsidR="00AB4F90" w:rsidRPr="0029638E" w:rsidRDefault="00AB4F90" w:rsidP="00BC061D">
      <w:pPr>
        <w:spacing w:after="0"/>
      </w:pPr>
      <w:r w:rsidRPr="0029638E">
        <w:t>IG</w:t>
      </w:r>
      <w:r>
        <w:t xml:space="preserve">IM </w:t>
      </w:r>
      <w:r w:rsidRPr="0029638E">
        <w:t>0.5 mL/kg of body weight (maximum dose = 15 mL) is recommended for the following potentially exposed groups</w:t>
      </w:r>
      <w:r w:rsidR="00ED34FF">
        <w:t>:</w:t>
      </w:r>
    </w:p>
    <w:p w:rsidR="00AB4F90" w:rsidRDefault="00AB4F90" w:rsidP="00BC061D">
      <w:pPr>
        <w:pStyle w:val="ListParagraph"/>
        <w:numPr>
          <w:ilvl w:val="0"/>
          <w:numId w:val="14"/>
        </w:numPr>
        <w:spacing w:after="0"/>
      </w:pPr>
      <w:r w:rsidRPr="0029638E">
        <w:t>Infants 0-6m</w:t>
      </w:r>
      <w:r>
        <w:t>onths</w:t>
      </w:r>
      <w:r w:rsidR="00ED34FF" w:rsidRPr="00ED34FF">
        <w:rPr>
          <w:b/>
        </w:rPr>
        <w:t xml:space="preserve"> </w:t>
      </w:r>
      <w:r w:rsidR="00ED34FF" w:rsidRPr="000D4E8A">
        <w:rPr>
          <w:b/>
        </w:rPr>
        <w:t>within 6 days of exposure</w:t>
      </w:r>
    </w:p>
    <w:p w:rsidR="00AB4F90" w:rsidRPr="00ED34FF" w:rsidRDefault="00AB4F90" w:rsidP="00BC061D">
      <w:pPr>
        <w:pStyle w:val="ListParagraph"/>
        <w:numPr>
          <w:ilvl w:val="0"/>
          <w:numId w:val="14"/>
        </w:numPr>
        <w:spacing w:after="0"/>
      </w:pPr>
      <w:r>
        <w:t>Any susceptible</w:t>
      </w:r>
      <w:r w:rsidR="000D4E8A">
        <w:t>,</w:t>
      </w:r>
      <w:r>
        <w:t xml:space="preserve"> </w:t>
      </w:r>
      <w:r w:rsidR="000D4E8A">
        <w:t xml:space="preserve">immunocompetent, </w:t>
      </w:r>
      <w:r>
        <w:t xml:space="preserve">exposed individual </w:t>
      </w:r>
      <w:r w:rsidR="000D4E8A">
        <w:t>(except pregnant women)</w:t>
      </w:r>
      <w:r w:rsidR="00ED34FF">
        <w:t xml:space="preserve">, if the window for MMR PEP has passed and it is still </w:t>
      </w:r>
      <w:r w:rsidR="00ED34FF" w:rsidRPr="000D4E8A">
        <w:rPr>
          <w:b/>
        </w:rPr>
        <w:t>within 6 days of exposure</w:t>
      </w:r>
    </w:p>
    <w:p w:rsidR="00ED34FF" w:rsidRPr="00ED34FF" w:rsidRDefault="00ED34FF" w:rsidP="00BC061D">
      <w:pPr>
        <w:pStyle w:val="ListParagraph"/>
        <w:numPr>
          <w:ilvl w:val="0"/>
          <w:numId w:val="14"/>
        </w:numPr>
        <w:spacing w:after="0"/>
      </w:pPr>
      <w:r w:rsidRPr="00ED34FF">
        <w:t xml:space="preserve">Priority for IG should be given to infants, household contacts, </w:t>
      </w:r>
      <w:r>
        <w:t xml:space="preserve">anyone at risk for complications, </w:t>
      </w:r>
      <w:r w:rsidRPr="00ED34FF">
        <w:t>and anyone with prolonged, close contact.</w:t>
      </w:r>
    </w:p>
    <w:p w:rsidR="00AB4F90" w:rsidRPr="0029638E" w:rsidRDefault="00AB4F90" w:rsidP="00BC061D">
      <w:pPr>
        <w:pStyle w:val="ListParagraph"/>
        <w:spacing w:after="0"/>
      </w:pPr>
    </w:p>
    <w:p w:rsidR="00AB4F90" w:rsidRPr="0029638E" w:rsidRDefault="00AB4F90" w:rsidP="00BC061D">
      <w:pPr>
        <w:tabs>
          <w:tab w:val="left" w:pos="630"/>
        </w:tabs>
        <w:spacing w:after="0"/>
      </w:pPr>
      <w:r w:rsidRPr="0029638E">
        <w:t>IGIV</w:t>
      </w:r>
      <w:r>
        <w:t>400 mg/kg</w:t>
      </w:r>
      <w:r w:rsidRPr="0029638E">
        <w:t xml:space="preserve"> is recommended for the following potentially exposed groups</w:t>
      </w:r>
      <w:r w:rsidR="000D4E8A">
        <w:t xml:space="preserve"> </w:t>
      </w:r>
      <w:r w:rsidR="000D4E8A">
        <w:rPr>
          <w:b/>
        </w:rPr>
        <w:t>within 6 days of exposure</w:t>
      </w:r>
      <w:r w:rsidRPr="0029638E">
        <w:t>:</w:t>
      </w:r>
    </w:p>
    <w:p w:rsidR="00AB4F90" w:rsidRPr="0029638E" w:rsidRDefault="00AB4F90" w:rsidP="00BC061D">
      <w:pPr>
        <w:pStyle w:val="ListParagraph"/>
        <w:numPr>
          <w:ilvl w:val="0"/>
          <w:numId w:val="14"/>
        </w:numPr>
      </w:pPr>
      <w:r w:rsidRPr="0029638E">
        <w:t>Severely immunocompromised persons</w:t>
      </w:r>
    </w:p>
    <w:p w:rsidR="00780B0C" w:rsidRDefault="00AB4F90" w:rsidP="00780B0C">
      <w:pPr>
        <w:pStyle w:val="ListParagraph"/>
        <w:numPr>
          <w:ilvl w:val="0"/>
          <w:numId w:val="14"/>
        </w:numPr>
      </w:pPr>
      <w:r w:rsidRPr="0029638E">
        <w:t xml:space="preserve">Pregnant women without evidence of measles immunity </w:t>
      </w:r>
    </w:p>
    <w:p w:rsidR="00780B0C" w:rsidRDefault="00780B0C" w:rsidP="003439EC">
      <w:r w:rsidRPr="00780B0C">
        <w:t>Any nonimmune person exposed to measles who received IG should subsequently receive MMR vaccine, which should be administered no earlier than 6 months after IGIM administration or 8 months after IGIV administration provided the person is then aged ≥12 months and the vaccine is not otherwise contraindicated</w:t>
      </w:r>
      <w:r>
        <w:t>.</w:t>
      </w:r>
    </w:p>
    <w:p w:rsidR="00AB4F90" w:rsidRDefault="00BC061D" w:rsidP="00BC061D">
      <w:pPr>
        <w:spacing w:after="0"/>
      </w:pPr>
      <w:r>
        <w:rPr>
          <w:b/>
          <w:u w:val="single"/>
        </w:rPr>
        <w:lastRenderedPageBreak/>
        <w:t xml:space="preserve">Routine </w:t>
      </w:r>
      <w:r w:rsidR="00AB4F90" w:rsidRPr="00431BF7">
        <w:rPr>
          <w:b/>
          <w:u w:val="single"/>
        </w:rPr>
        <w:t>Vaccination</w:t>
      </w:r>
      <w:r w:rsidR="00AB4F90">
        <w:rPr>
          <w:b/>
          <w:u w:val="single"/>
        </w:rPr>
        <w:t>:</w:t>
      </w:r>
      <w:r w:rsidR="00AB4F90">
        <w:rPr>
          <w:b/>
        </w:rPr>
        <w:t xml:space="preserve"> </w:t>
      </w:r>
      <w:r w:rsidR="00AB4F90">
        <w:t xml:space="preserve">All patients should be kept current with measles vaccination. Check the vaccination history of all patients and offer vaccine to anyone that is not up to date with the vaccine schedule. </w:t>
      </w:r>
      <w:r w:rsidR="00AB4F90" w:rsidRPr="00BF3B19">
        <w:t>Maintaining high two-dose MMR vaccination</w:t>
      </w:r>
      <w:r w:rsidR="00780B0C">
        <w:t xml:space="preserve"> coverage in communities</w:t>
      </w:r>
      <w:r w:rsidR="00AB4F90" w:rsidRPr="00BF3B19">
        <w:t xml:space="preserve"> remains the most effe</w:t>
      </w:r>
      <w:r w:rsidR="00AB4F90">
        <w:t>ctive way to prevent outbreaks.</w:t>
      </w:r>
    </w:p>
    <w:p w:rsidR="00545E5D" w:rsidRDefault="006C7DA7" w:rsidP="00BC061D">
      <w:pPr>
        <w:spacing w:before="100" w:beforeAutospacing="1" w:after="100" w:afterAutospacing="1"/>
      </w:pPr>
      <w:bookmarkStart w:id="1" w:name="general"/>
      <w:bookmarkEnd w:id="1"/>
      <w:r>
        <w:rPr>
          <w:lang w:val="en"/>
        </w:rPr>
        <w:t>Health Authority Signature Block</w:t>
      </w:r>
    </w:p>
    <w:sectPr w:rsidR="00545E5D" w:rsidSect="003A24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BAA"/>
    <w:multiLevelType w:val="hybridMultilevel"/>
    <w:tmpl w:val="495E2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E781B7A"/>
    <w:multiLevelType w:val="multilevel"/>
    <w:tmpl w:val="967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0CC9"/>
    <w:multiLevelType w:val="hybridMultilevel"/>
    <w:tmpl w:val="06BA8144"/>
    <w:lvl w:ilvl="0" w:tplc="9E76B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F23F3"/>
    <w:multiLevelType w:val="hybridMultilevel"/>
    <w:tmpl w:val="754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C67847"/>
    <w:multiLevelType w:val="hybridMultilevel"/>
    <w:tmpl w:val="247C0900"/>
    <w:lvl w:ilvl="0" w:tplc="09C6313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D86D73"/>
    <w:multiLevelType w:val="hybridMultilevel"/>
    <w:tmpl w:val="3B7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2540"/>
    <w:multiLevelType w:val="hybridMultilevel"/>
    <w:tmpl w:val="1B6E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B5E59"/>
    <w:multiLevelType w:val="multilevel"/>
    <w:tmpl w:val="6A04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14EEE"/>
    <w:multiLevelType w:val="hybridMultilevel"/>
    <w:tmpl w:val="7F5432F2"/>
    <w:lvl w:ilvl="0" w:tplc="09C631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3E0E3E"/>
    <w:multiLevelType w:val="multilevel"/>
    <w:tmpl w:val="0BC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934E6"/>
    <w:multiLevelType w:val="hybridMultilevel"/>
    <w:tmpl w:val="5442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60092"/>
    <w:multiLevelType w:val="hybridMultilevel"/>
    <w:tmpl w:val="06B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002DC"/>
    <w:multiLevelType w:val="hybridMultilevel"/>
    <w:tmpl w:val="B5AE5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A46E44"/>
    <w:multiLevelType w:val="multilevel"/>
    <w:tmpl w:val="D47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34BEB"/>
    <w:multiLevelType w:val="hybridMultilevel"/>
    <w:tmpl w:val="CB18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4"/>
  </w:num>
  <w:num w:numId="6">
    <w:abstractNumId w:val="3"/>
  </w:num>
  <w:num w:numId="7">
    <w:abstractNumId w:val="11"/>
  </w:num>
  <w:num w:numId="8">
    <w:abstractNumId w:val="1"/>
  </w:num>
  <w:num w:numId="9">
    <w:abstractNumId w:val="6"/>
  </w:num>
  <w:num w:numId="10">
    <w:abstractNumId w:val="13"/>
  </w:num>
  <w:num w:numId="11">
    <w:abstractNumId w:val="12"/>
  </w:num>
  <w:num w:numId="12">
    <w:abstractNumId w:val="10"/>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D"/>
    <w:rsid w:val="0008592F"/>
    <w:rsid w:val="000D4E8A"/>
    <w:rsid w:val="0018479F"/>
    <w:rsid w:val="001C6953"/>
    <w:rsid w:val="0029638E"/>
    <w:rsid w:val="002C2DBC"/>
    <w:rsid w:val="002E786C"/>
    <w:rsid w:val="003439EC"/>
    <w:rsid w:val="003A24B9"/>
    <w:rsid w:val="003C23C4"/>
    <w:rsid w:val="003D4BB3"/>
    <w:rsid w:val="003F1769"/>
    <w:rsid w:val="0042086C"/>
    <w:rsid w:val="00431BF7"/>
    <w:rsid w:val="00487932"/>
    <w:rsid w:val="00532BE9"/>
    <w:rsid w:val="0054248D"/>
    <w:rsid w:val="00545E5D"/>
    <w:rsid w:val="00573ECE"/>
    <w:rsid w:val="00576944"/>
    <w:rsid w:val="00591E2A"/>
    <w:rsid w:val="005C2EBA"/>
    <w:rsid w:val="005D73B3"/>
    <w:rsid w:val="00634723"/>
    <w:rsid w:val="0064765A"/>
    <w:rsid w:val="006B5943"/>
    <w:rsid w:val="006C7DA7"/>
    <w:rsid w:val="006E4469"/>
    <w:rsid w:val="00780B0C"/>
    <w:rsid w:val="007E32C7"/>
    <w:rsid w:val="00815E8F"/>
    <w:rsid w:val="0083569D"/>
    <w:rsid w:val="00866954"/>
    <w:rsid w:val="008C11BB"/>
    <w:rsid w:val="008C7B19"/>
    <w:rsid w:val="009102D2"/>
    <w:rsid w:val="009D574F"/>
    <w:rsid w:val="009E0C6C"/>
    <w:rsid w:val="00A96E48"/>
    <w:rsid w:val="00AB4F90"/>
    <w:rsid w:val="00B670F3"/>
    <w:rsid w:val="00B71598"/>
    <w:rsid w:val="00BC061D"/>
    <w:rsid w:val="00BF3B19"/>
    <w:rsid w:val="00C73DBB"/>
    <w:rsid w:val="00C75F87"/>
    <w:rsid w:val="00CF2980"/>
    <w:rsid w:val="00CF38EE"/>
    <w:rsid w:val="00E21847"/>
    <w:rsid w:val="00E2399D"/>
    <w:rsid w:val="00ED34FF"/>
    <w:rsid w:val="00F17D44"/>
    <w:rsid w:val="00F21017"/>
    <w:rsid w:val="00F24634"/>
    <w:rsid w:val="00F5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5D"/>
    <w:pPr>
      <w:ind w:left="720"/>
      <w:contextualSpacing/>
    </w:pPr>
  </w:style>
  <w:style w:type="character" w:styleId="Hyperlink">
    <w:name w:val="Hyperlink"/>
    <w:basedOn w:val="DefaultParagraphFont"/>
    <w:uiPriority w:val="99"/>
    <w:unhideWhenUsed/>
    <w:rsid w:val="002E786C"/>
    <w:rPr>
      <w:color w:val="0000FF" w:themeColor="hyperlink"/>
      <w:u w:val="single"/>
    </w:rPr>
  </w:style>
  <w:style w:type="paragraph" w:styleId="BalloonText">
    <w:name w:val="Balloon Text"/>
    <w:basedOn w:val="Normal"/>
    <w:link w:val="BalloonTextChar"/>
    <w:uiPriority w:val="99"/>
    <w:semiHidden/>
    <w:unhideWhenUsed/>
    <w:rsid w:val="003D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B3"/>
    <w:rPr>
      <w:rFonts w:ascii="Tahoma" w:hAnsi="Tahoma" w:cs="Tahoma"/>
      <w:sz w:val="16"/>
      <w:szCs w:val="16"/>
    </w:rPr>
  </w:style>
  <w:style w:type="character" w:styleId="FollowedHyperlink">
    <w:name w:val="FollowedHyperlink"/>
    <w:basedOn w:val="DefaultParagraphFont"/>
    <w:uiPriority w:val="99"/>
    <w:semiHidden/>
    <w:unhideWhenUsed/>
    <w:rsid w:val="003D4BB3"/>
    <w:rPr>
      <w:color w:val="800080" w:themeColor="followedHyperlink"/>
      <w:u w:val="single"/>
    </w:rPr>
  </w:style>
  <w:style w:type="paragraph" w:styleId="NormalWeb">
    <w:name w:val="Normal (Web)"/>
    <w:basedOn w:val="Normal"/>
    <w:uiPriority w:val="99"/>
    <w:semiHidden/>
    <w:unhideWhenUsed/>
    <w:rsid w:val="006B59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C11BB"/>
    <w:rPr>
      <w:sz w:val="16"/>
      <w:szCs w:val="16"/>
    </w:rPr>
  </w:style>
  <w:style w:type="paragraph" w:styleId="CommentText">
    <w:name w:val="annotation text"/>
    <w:basedOn w:val="Normal"/>
    <w:link w:val="CommentTextChar"/>
    <w:uiPriority w:val="99"/>
    <w:semiHidden/>
    <w:unhideWhenUsed/>
    <w:rsid w:val="008C11BB"/>
    <w:pPr>
      <w:spacing w:line="240" w:lineRule="auto"/>
    </w:pPr>
    <w:rPr>
      <w:sz w:val="20"/>
      <w:szCs w:val="20"/>
    </w:rPr>
  </w:style>
  <w:style w:type="character" w:customStyle="1" w:styleId="CommentTextChar">
    <w:name w:val="Comment Text Char"/>
    <w:basedOn w:val="DefaultParagraphFont"/>
    <w:link w:val="CommentText"/>
    <w:uiPriority w:val="99"/>
    <w:semiHidden/>
    <w:rsid w:val="008C11BB"/>
    <w:rPr>
      <w:sz w:val="20"/>
      <w:szCs w:val="20"/>
    </w:rPr>
  </w:style>
  <w:style w:type="paragraph" w:styleId="CommentSubject">
    <w:name w:val="annotation subject"/>
    <w:basedOn w:val="CommentText"/>
    <w:next w:val="CommentText"/>
    <w:link w:val="CommentSubjectChar"/>
    <w:uiPriority w:val="99"/>
    <w:semiHidden/>
    <w:unhideWhenUsed/>
    <w:rsid w:val="008C11BB"/>
    <w:rPr>
      <w:b/>
      <w:bCs/>
    </w:rPr>
  </w:style>
  <w:style w:type="character" w:customStyle="1" w:styleId="CommentSubjectChar">
    <w:name w:val="Comment Subject Char"/>
    <w:basedOn w:val="CommentTextChar"/>
    <w:link w:val="CommentSubject"/>
    <w:uiPriority w:val="99"/>
    <w:semiHidden/>
    <w:rsid w:val="008C11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5D"/>
    <w:pPr>
      <w:ind w:left="720"/>
      <w:contextualSpacing/>
    </w:pPr>
  </w:style>
  <w:style w:type="character" w:styleId="Hyperlink">
    <w:name w:val="Hyperlink"/>
    <w:basedOn w:val="DefaultParagraphFont"/>
    <w:uiPriority w:val="99"/>
    <w:unhideWhenUsed/>
    <w:rsid w:val="002E786C"/>
    <w:rPr>
      <w:color w:val="0000FF" w:themeColor="hyperlink"/>
      <w:u w:val="single"/>
    </w:rPr>
  </w:style>
  <w:style w:type="paragraph" w:styleId="BalloonText">
    <w:name w:val="Balloon Text"/>
    <w:basedOn w:val="Normal"/>
    <w:link w:val="BalloonTextChar"/>
    <w:uiPriority w:val="99"/>
    <w:semiHidden/>
    <w:unhideWhenUsed/>
    <w:rsid w:val="003D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B3"/>
    <w:rPr>
      <w:rFonts w:ascii="Tahoma" w:hAnsi="Tahoma" w:cs="Tahoma"/>
      <w:sz w:val="16"/>
      <w:szCs w:val="16"/>
    </w:rPr>
  </w:style>
  <w:style w:type="character" w:styleId="FollowedHyperlink">
    <w:name w:val="FollowedHyperlink"/>
    <w:basedOn w:val="DefaultParagraphFont"/>
    <w:uiPriority w:val="99"/>
    <w:semiHidden/>
    <w:unhideWhenUsed/>
    <w:rsid w:val="003D4BB3"/>
    <w:rPr>
      <w:color w:val="800080" w:themeColor="followedHyperlink"/>
      <w:u w:val="single"/>
    </w:rPr>
  </w:style>
  <w:style w:type="paragraph" w:styleId="NormalWeb">
    <w:name w:val="Normal (Web)"/>
    <w:basedOn w:val="Normal"/>
    <w:uiPriority w:val="99"/>
    <w:semiHidden/>
    <w:unhideWhenUsed/>
    <w:rsid w:val="006B59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C11BB"/>
    <w:rPr>
      <w:sz w:val="16"/>
      <w:szCs w:val="16"/>
    </w:rPr>
  </w:style>
  <w:style w:type="paragraph" w:styleId="CommentText">
    <w:name w:val="annotation text"/>
    <w:basedOn w:val="Normal"/>
    <w:link w:val="CommentTextChar"/>
    <w:uiPriority w:val="99"/>
    <w:semiHidden/>
    <w:unhideWhenUsed/>
    <w:rsid w:val="008C11BB"/>
    <w:pPr>
      <w:spacing w:line="240" w:lineRule="auto"/>
    </w:pPr>
    <w:rPr>
      <w:sz w:val="20"/>
      <w:szCs w:val="20"/>
    </w:rPr>
  </w:style>
  <w:style w:type="character" w:customStyle="1" w:styleId="CommentTextChar">
    <w:name w:val="Comment Text Char"/>
    <w:basedOn w:val="DefaultParagraphFont"/>
    <w:link w:val="CommentText"/>
    <w:uiPriority w:val="99"/>
    <w:semiHidden/>
    <w:rsid w:val="008C11BB"/>
    <w:rPr>
      <w:sz w:val="20"/>
      <w:szCs w:val="20"/>
    </w:rPr>
  </w:style>
  <w:style w:type="paragraph" w:styleId="CommentSubject">
    <w:name w:val="annotation subject"/>
    <w:basedOn w:val="CommentText"/>
    <w:next w:val="CommentText"/>
    <w:link w:val="CommentSubjectChar"/>
    <w:uiPriority w:val="99"/>
    <w:semiHidden/>
    <w:unhideWhenUsed/>
    <w:rsid w:val="008C11BB"/>
    <w:rPr>
      <w:b/>
      <w:bCs/>
    </w:rPr>
  </w:style>
  <w:style w:type="character" w:customStyle="1" w:styleId="CommentSubjectChar">
    <w:name w:val="Comment Subject Char"/>
    <w:basedOn w:val="CommentTextChar"/>
    <w:link w:val="CommentSubject"/>
    <w:uiPriority w:val="99"/>
    <w:semiHidden/>
    <w:rsid w:val="008C1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085">
      <w:bodyDiv w:val="1"/>
      <w:marLeft w:val="0"/>
      <w:marRight w:val="0"/>
      <w:marTop w:val="0"/>
      <w:marBottom w:val="0"/>
      <w:divBdr>
        <w:top w:val="none" w:sz="0" w:space="0" w:color="auto"/>
        <w:left w:val="none" w:sz="0" w:space="0" w:color="auto"/>
        <w:bottom w:val="none" w:sz="0" w:space="0" w:color="auto"/>
        <w:right w:val="none" w:sz="0" w:space="0" w:color="auto"/>
      </w:divBdr>
    </w:div>
    <w:div w:id="457996827">
      <w:bodyDiv w:val="1"/>
      <w:marLeft w:val="0"/>
      <w:marRight w:val="0"/>
      <w:marTop w:val="0"/>
      <w:marBottom w:val="0"/>
      <w:divBdr>
        <w:top w:val="none" w:sz="0" w:space="0" w:color="auto"/>
        <w:left w:val="none" w:sz="0" w:space="0" w:color="auto"/>
        <w:bottom w:val="none" w:sz="0" w:space="0" w:color="auto"/>
        <w:right w:val="none" w:sz="0" w:space="0" w:color="auto"/>
      </w:divBdr>
    </w:div>
    <w:div w:id="716126190">
      <w:bodyDiv w:val="1"/>
      <w:marLeft w:val="0"/>
      <w:marRight w:val="0"/>
      <w:marTop w:val="0"/>
      <w:marBottom w:val="0"/>
      <w:divBdr>
        <w:top w:val="none" w:sz="0" w:space="0" w:color="auto"/>
        <w:left w:val="none" w:sz="0" w:space="0" w:color="auto"/>
        <w:bottom w:val="none" w:sz="0" w:space="0" w:color="auto"/>
        <w:right w:val="none" w:sz="0" w:space="0" w:color="auto"/>
      </w:divBdr>
      <w:divsChild>
        <w:div w:id="287705423">
          <w:marLeft w:val="0"/>
          <w:marRight w:val="0"/>
          <w:marTop w:val="0"/>
          <w:marBottom w:val="0"/>
          <w:divBdr>
            <w:top w:val="none" w:sz="0" w:space="0" w:color="auto"/>
            <w:left w:val="none" w:sz="0" w:space="0" w:color="auto"/>
            <w:bottom w:val="none" w:sz="0" w:space="0" w:color="auto"/>
            <w:right w:val="none" w:sz="0" w:space="0" w:color="auto"/>
          </w:divBdr>
          <w:divsChild>
            <w:div w:id="1718823025">
              <w:marLeft w:val="0"/>
              <w:marRight w:val="0"/>
              <w:marTop w:val="0"/>
              <w:marBottom w:val="0"/>
              <w:divBdr>
                <w:top w:val="none" w:sz="0" w:space="0" w:color="auto"/>
                <w:left w:val="none" w:sz="0" w:space="0" w:color="auto"/>
                <w:bottom w:val="none" w:sz="0" w:space="0" w:color="auto"/>
                <w:right w:val="none" w:sz="0" w:space="0" w:color="auto"/>
              </w:divBdr>
              <w:divsChild>
                <w:div w:id="1065690391">
                  <w:marLeft w:val="0"/>
                  <w:marRight w:val="0"/>
                  <w:marTop w:val="0"/>
                  <w:marBottom w:val="0"/>
                  <w:divBdr>
                    <w:top w:val="none" w:sz="0" w:space="0" w:color="auto"/>
                    <w:left w:val="none" w:sz="0" w:space="0" w:color="auto"/>
                    <w:bottom w:val="none" w:sz="0" w:space="0" w:color="auto"/>
                    <w:right w:val="none" w:sz="0" w:space="0" w:color="auto"/>
                  </w:divBdr>
                  <w:divsChild>
                    <w:div w:id="1970697242">
                      <w:marLeft w:val="0"/>
                      <w:marRight w:val="0"/>
                      <w:marTop w:val="0"/>
                      <w:marBottom w:val="0"/>
                      <w:divBdr>
                        <w:top w:val="none" w:sz="0" w:space="0" w:color="auto"/>
                        <w:left w:val="none" w:sz="0" w:space="0" w:color="auto"/>
                        <w:bottom w:val="none" w:sz="0" w:space="0" w:color="auto"/>
                        <w:right w:val="none" w:sz="0" w:space="0" w:color="auto"/>
                      </w:divBdr>
                      <w:divsChild>
                        <w:div w:id="504393976">
                          <w:marLeft w:val="0"/>
                          <w:marRight w:val="0"/>
                          <w:marTop w:val="0"/>
                          <w:marBottom w:val="0"/>
                          <w:divBdr>
                            <w:top w:val="none" w:sz="0" w:space="0" w:color="auto"/>
                            <w:left w:val="none" w:sz="0" w:space="0" w:color="auto"/>
                            <w:bottom w:val="none" w:sz="0" w:space="0" w:color="auto"/>
                            <w:right w:val="none" w:sz="0" w:space="0" w:color="auto"/>
                          </w:divBdr>
                          <w:divsChild>
                            <w:div w:id="1680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6081">
      <w:bodyDiv w:val="1"/>
      <w:marLeft w:val="0"/>
      <w:marRight w:val="0"/>
      <w:marTop w:val="0"/>
      <w:marBottom w:val="0"/>
      <w:divBdr>
        <w:top w:val="none" w:sz="0" w:space="0" w:color="auto"/>
        <w:left w:val="none" w:sz="0" w:space="0" w:color="auto"/>
        <w:bottom w:val="none" w:sz="0" w:space="0" w:color="auto"/>
        <w:right w:val="none" w:sz="0" w:space="0" w:color="auto"/>
      </w:divBdr>
    </w:div>
    <w:div w:id="767847798">
      <w:bodyDiv w:val="1"/>
      <w:marLeft w:val="0"/>
      <w:marRight w:val="0"/>
      <w:marTop w:val="0"/>
      <w:marBottom w:val="0"/>
      <w:divBdr>
        <w:top w:val="none" w:sz="0" w:space="0" w:color="auto"/>
        <w:left w:val="none" w:sz="0" w:space="0" w:color="auto"/>
        <w:bottom w:val="none" w:sz="0" w:space="0" w:color="auto"/>
        <w:right w:val="none" w:sz="0" w:space="0" w:color="auto"/>
      </w:divBdr>
      <w:divsChild>
        <w:div w:id="395779826">
          <w:marLeft w:val="0"/>
          <w:marRight w:val="0"/>
          <w:marTop w:val="0"/>
          <w:marBottom w:val="0"/>
          <w:divBdr>
            <w:top w:val="none" w:sz="0" w:space="0" w:color="auto"/>
            <w:left w:val="none" w:sz="0" w:space="0" w:color="auto"/>
            <w:bottom w:val="none" w:sz="0" w:space="0" w:color="auto"/>
            <w:right w:val="none" w:sz="0" w:space="0" w:color="auto"/>
          </w:divBdr>
          <w:divsChild>
            <w:div w:id="1921060258">
              <w:marLeft w:val="0"/>
              <w:marRight w:val="0"/>
              <w:marTop w:val="0"/>
              <w:marBottom w:val="0"/>
              <w:divBdr>
                <w:top w:val="none" w:sz="0" w:space="0" w:color="auto"/>
                <w:left w:val="none" w:sz="0" w:space="0" w:color="auto"/>
                <w:bottom w:val="none" w:sz="0" w:space="0" w:color="auto"/>
                <w:right w:val="none" w:sz="0" w:space="0" w:color="auto"/>
              </w:divBdr>
              <w:divsChild>
                <w:div w:id="2068138532">
                  <w:marLeft w:val="0"/>
                  <w:marRight w:val="0"/>
                  <w:marTop w:val="0"/>
                  <w:marBottom w:val="0"/>
                  <w:divBdr>
                    <w:top w:val="none" w:sz="0" w:space="0" w:color="auto"/>
                    <w:left w:val="none" w:sz="0" w:space="0" w:color="auto"/>
                    <w:bottom w:val="none" w:sz="0" w:space="0" w:color="auto"/>
                    <w:right w:val="none" w:sz="0" w:space="0" w:color="auto"/>
                  </w:divBdr>
                  <w:divsChild>
                    <w:div w:id="1931888151">
                      <w:marLeft w:val="0"/>
                      <w:marRight w:val="0"/>
                      <w:marTop w:val="0"/>
                      <w:marBottom w:val="0"/>
                      <w:divBdr>
                        <w:top w:val="none" w:sz="0" w:space="0" w:color="auto"/>
                        <w:left w:val="none" w:sz="0" w:space="0" w:color="auto"/>
                        <w:bottom w:val="none" w:sz="0" w:space="0" w:color="auto"/>
                        <w:right w:val="none" w:sz="0" w:space="0" w:color="auto"/>
                      </w:divBdr>
                      <w:divsChild>
                        <w:div w:id="1221675837">
                          <w:marLeft w:val="0"/>
                          <w:marRight w:val="0"/>
                          <w:marTop w:val="0"/>
                          <w:marBottom w:val="0"/>
                          <w:divBdr>
                            <w:top w:val="none" w:sz="0" w:space="0" w:color="auto"/>
                            <w:left w:val="none" w:sz="0" w:space="0" w:color="auto"/>
                            <w:bottom w:val="none" w:sz="0" w:space="0" w:color="auto"/>
                            <w:right w:val="none" w:sz="0" w:space="0" w:color="auto"/>
                          </w:divBdr>
                          <w:divsChild>
                            <w:div w:id="1649895496">
                              <w:marLeft w:val="0"/>
                              <w:marRight w:val="0"/>
                              <w:marTop w:val="0"/>
                              <w:marBottom w:val="0"/>
                              <w:divBdr>
                                <w:top w:val="none" w:sz="0" w:space="0" w:color="auto"/>
                                <w:left w:val="none" w:sz="0" w:space="0" w:color="auto"/>
                                <w:bottom w:val="none" w:sz="0" w:space="0" w:color="auto"/>
                                <w:right w:val="none" w:sz="0" w:space="0" w:color="auto"/>
                              </w:divBdr>
                              <w:divsChild>
                                <w:div w:id="624234706">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14451">
      <w:bodyDiv w:val="1"/>
      <w:marLeft w:val="0"/>
      <w:marRight w:val="0"/>
      <w:marTop w:val="0"/>
      <w:marBottom w:val="0"/>
      <w:divBdr>
        <w:top w:val="none" w:sz="0" w:space="0" w:color="auto"/>
        <w:left w:val="none" w:sz="0" w:space="0" w:color="auto"/>
        <w:bottom w:val="none" w:sz="0" w:space="0" w:color="auto"/>
        <w:right w:val="none" w:sz="0" w:space="0" w:color="auto"/>
      </w:divBdr>
    </w:div>
    <w:div w:id="879822944">
      <w:bodyDiv w:val="1"/>
      <w:marLeft w:val="0"/>
      <w:marRight w:val="0"/>
      <w:marTop w:val="0"/>
      <w:marBottom w:val="0"/>
      <w:divBdr>
        <w:top w:val="none" w:sz="0" w:space="0" w:color="auto"/>
        <w:left w:val="none" w:sz="0" w:space="0" w:color="auto"/>
        <w:bottom w:val="none" w:sz="0" w:space="0" w:color="auto"/>
        <w:right w:val="none" w:sz="0" w:space="0" w:color="auto"/>
      </w:divBdr>
      <w:divsChild>
        <w:div w:id="501625360">
          <w:marLeft w:val="0"/>
          <w:marRight w:val="0"/>
          <w:marTop w:val="0"/>
          <w:marBottom w:val="0"/>
          <w:divBdr>
            <w:top w:val="none" w:sz="0" w:space="0" w:color="auto"/>
            <w:left w:val="none" w:sz="0" w:space="0" w:color="auto"/>
            <w:bottom w:val="none" w:sz="0" w:space="0" w:color="auto"/>
            <w:right w:val="none" w:sz="0" w:space="0" w:color="auto"/>
          </w:divBdr>
          <w:divsChild>
            <w:div w:id="1664550066">
              <w:marLeft w:val="0"/>
              <w:marRight w:val="0"/>
              <w:marTop w:val="0"/>
              <w:marBottom w:val="0"/>
              <w:divBdr>
                <w:top w:val="none" w:sz="0" w:space="0" w:color="auto"/>
                <w:left w:val="none" w:sz="0" w:space="0" w:color="auto"/>
                <w:bottom w:val="none" w:sz="0" w:space="0" w:color="auto"/>
                <w:right w:val="none" w:sz="0" w:space="0" w:color="auto"/>
              </w:divBdr>
              <w:divsChild>
                <w:div w:id="763526936">
                  <w:marLeft w:val="0"/>
                  <w:marRight w:val="0"/>
                  <w:marTop w:val="0"/>
                  <w:marBottom w:val="0"/>
                  <w:divBdr>
                    <w:top w:val="none" w:sz="0" w:space="0" w:color="auto"/>
                    <w:left w:val="none" w:sz="0" w:space="0" w:color="auto"/>
                    <w:bottom w:val="none" w:sz="0" w:space="0" w:color="auto"/>
                    <w:right w:val="none" w:sz="0" w:space="0" w:color="auto"/>
                  </w:divBdr>
                  <w:divsChild>
                    <w:div w:id="48648362">
                      <w:marLeft w:val="0"/>
                      <w:marRight w:val="0"/>
                      <w:marTop w:val="0"/>
                      <w:marBottom w:val="0"/>
                      <w:divBdr>
                        <w:top w:val="none" w:sz="0" w:space="0" w:color="auto"/>
                        <w:left w:val="none" w:sz="0" w:space="0" w:color="auto"/>
                        <w:bottom w:val="none" w:sz="0" w:space="0" w:color="auto"/>
                        <w:right w:val="none" w:sz="0" w:space="0" w:color="auto"/>
                      </w:divBdr>
                      <w:divsChild>
                        <w:div w:id="863640027">
                          <w:marLeft w:val="0"/>
                          <w:marRight w:val="0"/>
                          <w:marTop w:val="0"/>
                          <w:marBottom w:val="0"/>
                          <w:divBdr>
                            <w:top w:val="none" w:sz="0" w:space="0" w:color="auto"/>
                            <w:left w:val="none" w:sz="0" w:space="0" w:color="auto"/>
                            <w:bottom w:val="none" w:sz="0" w:space="0" w:color="auto"/>
                            <w:right w:val="none" w:sz="0" w:space="0" w:color="auto"/>
                          </w:divBdr>
                          <w:divsChild>
                            <w:div w:id="1349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77681">
      <w:bodyDiv w:val="1"/>
      <w:marLeft w:val="0"/>
      <w:marRight w:val="0"/>
      <w:marTop w:val="0"/>
      <w:marBottom w:val="0"/>
      <w:divBdr>
        <w:top w:val="none" w:sz="0" w:space="0" w:color="auto"/>
        <w:left w:val="none" w:sz="0" w:space="0" w:color="auto"/>
        <w:bottom w:val="none" w:sz="0" w:space="0" w:color="auto"/>
        <w:right w:val="none" w:sz="0" w:space="0" w:color="auto"/>
      </w:divBdr>
    </w:div>
    <w:div w:id="1729496054">
      <w:bodyDiv w:val="1"/>
      <w:marLeft w:val="0"/>
      <w:marRight w:val="0"/>
      <w:marTop w:val="0"/>
      <w:marBottom w:val="0"/>
      <w:divBdr>
        <w:top w:val="none" w:sz="0" w:space="0" w:color="auto"/>
        <w:left w:val="none" w:sz="0" w:space="0" w:color="auto"/>
        <w:bottom w:val="none" w:sz="0" w:space="0" w:color="auto"/>
        <w:right w:val="none" w:sz="0" w:space="0" w:color="auto"/>
      </w:divBdr>
    </w:div>
    <w:div w:id="1795173627">
      <w:bodyDiv w:val="1"/>
      <w:marLeft w:val="0"/>
      <w:marRight w:val="0"/>
      <w:marTop w:val="0"/>
      <w:marBottom w:val="0"/>
      <w:divBdr>
        <w:top w:val="none" w:sz="0" w:space="0" w:color="auto"/>
        <w:left w:val="none" w:sz="0" w:space="0" w:color="auto"/>
        <w:bottom w:val="none" w:sz="0" w:space="0" w:color="auto"/>
        <w:right w:val="none" w:sz="0" w:space="0" w:color="auto"/>
      </w:divBdr>
      <w:divsChild>
        <w:div w:id="315569001">
          <w:marLeft w:val="0"/>
          <w:marRight w:val="0"/>
          <w:marTop w:val="0"/>
          <w:marBottom w:val="0"/>
          <w:divBdr>
            <w:top w:val="none" w:sz="0" w:space="0" w:color="auto"/>
            <w:left w:val="none" w:sz="0" w:space="0" w:color="auto"/>
            <w:bottom w:val="none" w:sz="0" w:space="0" w:color="auto"/>
            <w:right w:val="none" w:sz="0" w:space="0" w:color="auto"/>
          </w:divBdr>
          <w:divsChild>
            <w:div w:id="75520253">
              <w:marLeft w:val="0"/>
              <w:marRight w:val="0"/>
              <w:marTop w:val="0"/>
              <w:marBottom w:val="0"/>
              <w:divBdr>
                <w:top w:val="none" w:sz="0" w:space="0" w:color="auto"/>
                <w:left w:val="none" w:sz="0" w:space="0" w:color="auto"/>
                <w:bottom w:val="none" w:sz="0" w:space="0" w:color="auto"/>
                <w:right w:val="none" w:sz="0" w:space="0" w:color="auto"/>
              </w:divBdr>
              <w:divsChild>
                <w:div w:id="816646912">
                  <w:marLeft w:val="0"/>
                  <w:marRight w:val="0"/>
                  <w:marTop w:val="0"/>
                  <w:marBottom w:val="0"/>
                  <w:divBdr>
                    <w:top w:val="none" w:sz="0" w:space="0" w:color="auto"/>
                    <w:left w:val="none" w:sz="0" w:space="0" w:color="auto"/>
                    <w:bottom w:val="none" w:sz="0" w:space="0" w:color="auto"/>
                    <w:right w:val="none" w:sz="0" w:space="0" w:color="auto"/>
                  </w:divBdr>
                  <w:divsChild>
                    <w:div w:id="1290430526">
                      <w:marLeft w:val="0"/>
                      <w:marRight w:val="0"/>
                      <w:marTop w:val="0"/>
                      <w:marBottom w:val="0"/>
                      <w:divBdr>
                        <w:top w:val="none" w:sz="0" w:space="0" w:color="auto"/>
                        <w:left w:val="none" w:sz="0" w:space="0" w:color="auto"/>
                        <w:bottom w:val="none" w:sz="0" w:space="0" w:color="auto"/>
                        <w:right w:val="none" w:sz="0" w:space="0" w:color="auto"/>
                      </w:divBdr>
                      <w:divsChild>
                        <w:div w:id="286547413">
                          <w:marLeft w:val="0"/>
                          <w:marRight w:val="0"/>
                          <w:marTop w:val="0"/>
                          <w:marBottom w:val="0"/>
                          <w:divBdr>
                            <w:top w:val="none" w:sz="0" w:space="0" w:color="auto"/>
                            <w:left w:val="none" w:sz="0" w:space="0" w:color="auto"/>
                            <w:bottom w:val="none" w:sz="0" w:space="0" w:color="auto"/>
                            <w:right w:val="none" w:sz="0" w:space="0" w:color="auto"/>
                          </w:divBdr>
                          <w:divsChild>
                            <w:div w:id="313918855">
                              <w:marLeft w:val="0"/>
                              <w:marRight w:val="0"/>
                              <w:marTop w:val="0"/>
                              <w:marBottom w:val="0"/>
                              <w:divBdr>
                                <w:top w:val="none" w:sz="0" w:space="0" w:color="auto"/>
                                <w:left w:val="none" w:sz="0" w:space="0" w:color="auto"/>
                                <w:bottom w:val="none" w:sz="0" w:space="0" w:color="auto"/>
                                <w:right w:val="none" w:sz="0" w:space="0" w:color="auto"/>
                              </w:divBdr>
                              <w:divsChild>
                                <w:div w:id="2845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3461">
      <w:bodyDiv w:val="1"/>
      <w:marLeft w:val="0"/>
      <w:marRight w:val="0"/>
      <w:marTop w:val="0"/>
      <w:marBottom w:val="0"/>
      <w:divBdr>
        <w:top w:val="none" w:sz="0" w:space="0" w:color="auto"/>
        <w:left w:val="none" w:sz="0" w:space="0" w:color="auto"/>
        <w:bottom w:val="none" w:sz="0" w:space="0" w:color="auto"/>
        <w:right w:val="none" w:sz="0" w:space="0" w:color="auto"/>
      </w:divBdr>
      <w:divsChild>
        <w:div w:id="2061203214">
          <w:marLeft w:val="0"/>
          <w:marRight w:val="0"/>
          <w:marTop w:val="0"/>
          <w:marBottom w:val="0"/>
          <w:divBdr>
            <w:top w:val="none" w:sz="0" w:space="0" w:color="auto"/>
            <w:left w:val="none" w:sz="0" w:space="0" w:color="auto"/>
            <w:bottom w:val="none" w:sz="0" w:space="0" w:color="auto"/>
            <w:right w:val="none" w:sz="0" w:space="0" w:color="auto"/>
          </w:divBdr>
          <w:divsChild>
            <w:div w:id="119341256">
              <w:marLeft w:val="0"/>
              <w:marRight w:val="0"/>
              <w:marTop w:val="0"/>
              <w:marBottom w:val="0"/>
              <w:divBdr>
                <w:top w:val="none" w:sz="0" w:space="0" w:color="auto"/>
                <w:left w:val="none" w:sz="0" w:space="0" w:color="auto"/>
                <w:bottom w:val="none" w:sz="0" w:space="0" w:color="auto"/>
                <w:right w:val="none" w:sz="0" w:space="0" w:color="auto"/>
              </w:divBdr>
              <w:divsChild>
                <w:div w:id="187839749">
                  <w:marLeft w:val="75"/>
                  <w:marRight w:val="150"/>
                  <w:marTop w:val="0"/>
                  <w:marBottom w:val="0"/>
                  <w:divBdr>
                    <w:top w:val="none" w:sz="0" w:space="0" w:color="auto"/>
                    <w:left w:val="none" w:sz="0" w:space="0" w:color="auto"/>
                    <w:bottom w:val="none" w:sz="0" w:space="0" w:color="auto"/>
                    <w:right w:val="none" w:sz="0" w:space="0" w:color="auto"/>
                  </w:divBdr>
                  <w:divsChild>
                    <w:div w:id="784427119">
                      <w:marLeft w:val="0"/>
                      <w:marRight w:val="0"/>
                      <w:marTop w:val="0"/>
                      <w:marBottom w:val="0"/>
                      <w:divBdr>
                        <w:top w:val="none" w:sz="0" w:space="0" w:color="auto"/>
                        <w:left w:val="none" w:sz="0" w:space="0" w:color="auto"/>
                        <w:bottom w:val="none" w:sz="0" w:space="0" w:color="auto"/>
                        <w:right w:val="none" w:sz="0" w:space="0" w:color="auto"/>
                      </w:divBdr>
                      <w:divsChild>
                        <w:div w:id="89087304">
                          <w:marLeft w:val="0"/>
                          <w:marRight w:val="0"/>
                          <w:marTop w:val="0"/>
                          <w:marBottom w:val="240"/>
                          <w:divBdr>
                            <w:top w:val="none" w:sz="0" w:space="0" w:color="auto"/>
                            <w:left w:val="none" w:sz="0" w:space="0" w:color="auto"/>
                            <w:bottom w:val="none" w:sz="0" w:space="0" w:color="auto"/>
                            <w:right w:val="none" w:sz="0" w:space="0" w:color="auto"/>
                          </w:divBdr>
                          <w:divsChild>
                            <w:div w:id="282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xreg.sos.state.tx.us/public/readtac$ext.ViewTAC?tac_view=5&amp;ti=25&amp;pt=1&amp;ch=97&amp;sch=A&amp;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link=H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Cornelius,Lisa (DSHS)</dc:creator>
  <cp:lastModifiedBy>Wiseman,Rachel (DSHS)</cp:lastModifiedBy>
  <cp:revision>2</cp:revision>
  <cp:lastPrinted>2013-10-15T14:37:00Z</cp:lastPrinted>
  <dcterms:created xsi:type="dcterms:W3CDTF">2015-02-27T20:11:00Z</dcterms:created>
  <dcterms:modified xsi:type="dcterms:W3CDTF">2015-02-27T20:11:00Z</dcterms:modified>
</cp:coreProperties>
</file>